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Общая врачебная практика (семейная медицина)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Общая врачебная практика (семейная медицина) | Записей: 1 | Кейс: 2 | Вопросов: 12</w:t>
      </w:r>
    </w:p>
    <w:p>
      <w:r>
        <w:br w:type="page"/>
      </w:r>
    </w:p>
    <w:p>
      <w:pPr>
        <w:pStyle w:val="Heading1"/>
      </w:pPr>
      <w:r>
        <w:t>Общая врачебная практика (семейная медицина)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Общая врачебная практика (семейная медицина)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 терапевт-участковый прибыл к пациентке 54-х лет на 6-ой день болезни.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одышку, чувство «заложенности» в груди, кашель со скудной мокротой, повышение температуры тела, выраженную слабость, общее недомогание, потерю обоняния и вкуса.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Заболела остро с появления озноба, общего недомогания, температура повысилась до 37,8℃. Беспокоили мышечные боли, ломота в суставах.</w:t>
      </w:r>
    </w:p>
    <w:p>
      <w:pPr>
        <w:spacing w:after="58"/>
      </w:pPr>
      <w:r>
        <w:rPr>
          <w:b w:val="0"/>
          <w:i w:val="0"/>
        </w:rPr>
        <w:t>* К исходу первого дня появились сухой кашель, першение в ротоглотке, незначительные выделения из носа; беспокоила головная боль, отметила снижение аппетита.</w:t>
      </w:r>
    </w:p>
    <w:p>
      <w:pPr>
        <w:spacing w:after="58"/>
      </w:pPr>
      <w:r>
        <w:rPr>
          <w:b w:val="0"/>
          <w:i w:val="0"/>
        </w:rPr>
        <w:t>* Лечилась самостоятельно: принимала жаропонижающие препараты (парацетамол), бромгексин. В течение последующих дней самочувствие ухудшилось: температура тела наросла до 38,7℃, отметила появление высыпаний на коже груди и нарушения обоняния и вкуса (не ощущала запах и вкус знакомой пищи), усилились кашель и одышка, отметила чувство «заложенности» в груди.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Бухгалтер в частной компании.</w:t>
      </w:r>
    </w:p>
    <w:p>
      <w:pPr>
        <w:spacing w:after="58"/>
      </w:pPr>
      <w:r>
        <w:rPr>
          <w:b w:val="0"/>
          <w:i w:val="0"/>
        </w:rPr>
        <w:t>* Аллергоанамнез: не отягощен.</w:t>
      </w:r>
    </w:p>
    <w:p>
      <w:pPr>
        <w:spacing w:after="58"/>
      </w:pPr>
      <w:r>
        <w:rPr>
          <w:b w:val="0"/>
          <w:i w:val="0"/>
        </w:rPr>
        <w:t>* Перенесенные заболевания: сахарный диабет II типа (принимает метформин), гипертоническая болезнь, II стадии (принимает эналаприл), болеет респираторными инфекциями 2-3 раза в год.</w:t>
      </w:r>
    </w:p>
    <w:p>
      <w:pPr>
        <w:spacing w:after="58"/>
      </w:pPr>
      <w:r>
        <w:rPr>
          <w:b w:val="0"/>
          <w:i w:val="0"/>
        </w:rPr>
        <w:t>* Вредные привычки: отрицает</w:t>
      </w:r>
    </w:p>
    <w:p>
      <w:pPr>
        <w:spacing w:after="58"/>
      </w:pPr>
      <w:r>
        <w:rPr>
          <w:b w:val="0"/>
          <w:i w:val="0"/>
        </w:rPr>
        <w:t>* Эпиданамнез: за пределы страны и домашнего региона не выезжала. Была в контакте с болеющей дочерью и зятем (болели ОРЗ, перенесли заболевание «на ногах», в мед.учреждение не обращались).</w:t>
      </w:r>
    </w:p>
    <w:p>
      <w:pPr>
        <w:spacing w:after="58"/>
      </w:pPr>
      <w:r>
        <w:rPr>
          <w:b w:val="0"/>
          <w:i w:val="0"/>
        </w:rPr>
        <w:t>* Прививочный анамнез: вакцинирована от сезонного гриппа.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Температура тела 38,8°С.</w:t>
      </w:r>
    </w:p>
    <w:p>
      <w:pPr>
        <w:spacing w:after="58"/>
      </w:pPr>
      <w:r>
        <w:rPr>
          <w:b w:val="0"/>
          <w:i w:val="0"/>
        </w:rPr>
        <w:t>* Пациентка гиперстенического телосложения. ИМТ-34. Кожные покровы умеренной влажности, в области передней поверхности грудной клетки визуализируются множественные элементы уртикарной сыпи.</w:t>
      </w:r>
    </w:p>
    <w:p>
      <w:r>
        <w:drawing>
          <wp:inline xmlns:a="http://schemas.openxmlformats.org/drawingml/2006/main" xmlns:pic="http://schemas.openxmlformats.org/drawingml/2006/picture">
            <wp:extent cx="5303520" cy="341710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0f8a7111063c111a35753c05bd0f42dd95677af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41710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* Слизистая оболочка ротоглотки (дужек, миндалин, язычка) умеренно гиперемирована, миндалины не увеличены, налетов нет. Слизистая задней стенки ротоглотки разрыхлена, с набухшими фолликулами. Незначительные выделение из носовых ходов, серозного характера.</w:t>
      </w:r>
    </w:p>
    <w:p>
      <w:pPr>
        <w:spacing w:after="58"/>
      </w:pPr>
      <w:r>
        <w:rPr>
          <w:b w:val="0"/>
          <w:i w:val="0"/>
        </w:rPr>
        <w:t>* Лимфатические узлы не увеличены.</w:t>
      </w:r>
    </w:p>
    <w:p>
      <w:pPr>
        <w:spacing w:after="58"/>
      </w:pPr>
      <w:r>
        <w:rPr>
          <w:b w:val="0"/>
          <w:i w:val="0"/>
        </w:rPr>
        <w:t>* Умеренная одышка при физической нагрузке. В легких дыхание жесткое, выслушиваются сухие и влажные хрипы с обеих сторон. ЧДД – 28 в мин.</w:t>
      </w:r>
    </w:p>
    <w:p>
      <w:pPr>
        <w:spacing w:after="58"/>
      </w:pPr>
      <w:r>
        <w:rPr>
          <w:b w:val="0"/>
          <w:i w:val="0"/>
        </w:rPr>
        <w:t>* АД-100/60 мм рт. ст, ЧСС –92 уд. в мин.</w:t>
      </w:r>
    </w:p>
    <w:p>
      <w:pPr>
        <w:spacing w:after="58"/>
      </w:pPr>
      <w:r>
        <w:rPr>
          <w:b w:val="0"/>
          <w:i w:val="0"/>
        </w:rPr>
        <w:t>* Печень и селезенка не увеличены. Мочеиспускание не нарушено. Стула не было в течение суток.</w:t>
      </w:r>
    </w:p>
    <w:p>
      <w:pPr>
        <w:spacing w:after="58"/>
      </w:pPr>
      <w:r>
        <w:rPr>
          <w:b w:val="0"/>
          <w:i w:val="0"/>
        </w:rPr>
        <w:t>* В сознании, адекватна. Ориентирована в месте и времени. Очаговой и менингеальной симптоматики нет.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Лабораторными методами обследования данной больной для выявления этиологического фактора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иммуноферментный анализ (ИФА) сыворотки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ПЦР-диагностика мазка из ротоглотки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бактериологический посев крови на стерильность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реакция иммунофлюоресценции мазков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иммунохроматографический экспресс-метод определения антигенов вируса в кале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иммуноферментный анализ (ИФА) сыворотки крови; ПЦР-диагностика мазка из ротоглотки</w:t>
      </w:r>
    </w:p>
    <w:p>
      <w:pPr>
        <w:ind w:left="504"/>
      </w:pPr>
      <w:r>
        <w:rPr>
          <w:b w:val="0"/>
          <w:i/>
        </w:rPr>
        <w:t>Выявление иммуноглобулинов классов А, M, G (IgА, IgM и IgG) к SARS-CoV-2 (в том числе к рецептор-связывающему домену поверхностного гликопротеина S).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Прямые методы этиологической диагностики</w:t>
        <w:br/>
        <w:t>Выявление РНК SARS-CoV-2 с применением МАНК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ПЦР-диагностика мазка из ротоглотки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Параметр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Influenza virus A/H1N1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Influenza virus В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hRSv - Respiratory Syncytial virus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hCov - Coronavirus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SARS‑CoV‑2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hPiv - Parainfluenza virus 1, 2, 3, 4 типов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</w:tbl>
    <w:p/>
    <w:p>
      <w:pPr>
        <w:pStyle w:val="Heading3"/>
      </w:pPr>
      <w:r>
        <w:t>3.2. Иммуноферментный анализ (ИФА) сыворотки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Параметр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Anti-B19 IgM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Anti-B19 IgG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Anti-SARS-CoV-2 Ig M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Anti-SARS-CoV-2 Ig G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 Adv IgA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 Adv IgG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</w:tbl>
    <w:p/>
    <w:p>
      <w:pPr>
        <w:pStyle w:val="Heading3"/>
      </w:pPr>
      <w:r>
        <w:t>3.5. Иммунохроматографический экспресс-метод определения антигенов вируса в кале</w:t>
      </w:r>
    </w:p>
    <w:p>
      <w:pPr>
        <w:spacing w:after="58"/>
      </w:pPr>
      <w:r>
        <w:rPr>
          <w:b w:val="0"/>
          <w:i w:val="0"/>
        </w:rPr>
        <w:t>Результат отрицательный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Учитывая данные клинико-лабораторного обследования, можно думать о диагнозе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Аденовирусная инфекция, типичное течение, осложненная двусторонней пневмонией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Респираторно-синцитиальная инфекция, токсико-аллергическая реакция на парацетамол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Коронавирусная инфекция, осложненная двусторонней пневмонией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Парвовирусная инфекция, типичное течение, инфекционная эритема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Коронавирусная инфекция, осложненная двусторонней пневмонией</w:t>
      </w:r>
    </w:p>
    <w:p>
      <w:pPr>
        <w:ind w:left="504"/>
      </w:pPr>
      <w:r>
        <w:rPr>
          <w:b w:val="0"/>
          <w:i/>
        </w:rPr>
        <w:t>Учитывая острое начало заболевания с интоксикационного синдрома (озноб, лихорадка, головная боль, мышечные боли); присоединение катарального синдрома (сухой кашель, першение в ротоглотке, умеренная ринорея); присоединение признаков аносмии и дисгевзии (нарушение обоняния и вкуса); появление на 6-й день дыхательной недостаточности (чувство «заложенности» в груди, одышка); данные объективного осмотра (изменения в ротоглотке, наличие сухих и влажных хрипов с обеих сторон, ЧДД – 28 в мин., наличие уртикарной сыпи по типу крапивницы, данных лабораторного исследований (обнаружение генетического материала и антител Ig M к SARS-CoV-2), а также данных эпидемиологического анамнеза (контакт с лицами, перенесшими ОРЗ), можно думать о диагнозе «Коронавирусная инфекция, вызванная COVID-19, подтвержденная». Наличие двусторонних сухих и влажных хрипов, одышки при физической нагрузке на 6-й день болезни на фоне усиления интоксикационного синдрома, нельзя исключить присоединение вирусной пневмонии. Требуется проведение инструментальных методов исследования.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Диагноз</w:t>
      </w:r>
    </w:p>
    <w:p>
      <w:pPr>
        <w:pStyle w:val="Heading3"/>
      </w:pPr>
      <w:r>
        <w:t>5.1. Коронавирусная инфекция, осложненная двусторонней пневмонией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оценки выраженности гипоксемии и выявления дыхательной недостаточности, больной следует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пикфлоуметрию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пневмотахометрию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пульсоксиметрию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спирографию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пульсоксиметрию</w:t>
      </w:r>
    </w:p>
    <w:p>
      <w:pPr>
        <w:ind w:left="504"/>
      </w:pPr>
      <w:r>
        <w:rPr>
          <w:b w:val="0"/>
          <w:i/>
        </w:rPr>
        <w:t>Пульсоксиметрия с измерением SpO2 для выявления дыхательной недостаточности и оценки выраженности гипоксемии является простым и надежным скрининговым методом, позволяющим выявлять пациентов с гипоксемией, нуждающихся в респираторной поддержке, и оценивать ее эффективность. Пациентам с признаками острой дыхательной недостаточности (ОДН) (SрO2 менее 90%) рекомендуется исследование газов артериальной крови с определением PaO2, PaCO2, pH, бикарбонатов, лактата.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обследовании у больной выявлен уровень SрO2 - 94%. СРБ сыворотки крови- 20 мг/л. Учитывая клинико-лабораторные данные, следует расценить течение заболевания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средней степени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тяжелое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крайне тяжелое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легкое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средней степени</w:t>
      </w:r>
    </w:p>
    <w:p>
      <w:pPr>
        <w:ind w:left="504"/>
      </w:pPr>
      <w:r>
        <w:rPr>
          <w:b w:val="0"/>
          <w:i/>
        </w:rPr>
        <w:t>Классификация COVID-19 по степени тяжести</w:t>
        <w:br/>
        <w:br/>
        <w:t>*Легкое течение*</w:t>
        <w:br/>
        <w:br/>
        <w:t>* Т тела &lt; 38 °C, кашель, слабость, боли в горле</w:t>
        <w:br/>
        <w:br/>
        <w:t>* Отсутствие критериев среднетяжелого и тяжелого течения</w:t>
        <w:br/>
        <w:br/>
        <w:t>*Среднетяжелое течение*</w:t>
        <w:br/>
        <w:br/>
        <w:t>* Т тела &gt; 38 °C</w:t>
        <w:br/>
        <w:br/>
        <w:t>* ЧДД &gt; 22/мин</w:t>
        <w:br/>
        <w:br/>
        <w:t>* Одышка при физических нагрузках</w:t>
        <w:br/>
        <w:br/>
        <w:t>* Изменения при КТ (рентгенографии), типичные для вирусного поражения (объем поражения минимальный или средний; КТ 1-2)</w:t>
        <w:br/>
        <w:br/>
        <w:t>* SpO2 &lt; 95%</w:t>
        <w:br/>
        <w:br/>
        <w:t>* СРБ сыворотки крови &gt;10 мг/л</w:t>
        <w:br/>
        <w:br/>
        <w:t>*Тяжелое течение*</w:t>
        <w:br/>
        <w:br/>
        <w:t>* ЧДД &gt; 30/мин</w:t>
        <w:br/>
        <w:br/>
        <w:t>* SpO2 ≤ 93%</w:t>
        <w:br/>
        <w:br/>
        <w:t>* PaO2 /FiO2 ≤ 300 мм рт.ст.</w:t>
        <w:br/>
        <w:br/>
        <w:t>* Снижение уровня сознания, ажитация</w:t>
        <w:br/>
        <w:br/>
        <w:t>* Нестабильная гемодинамика (систолическое АД менее 90 мм рт.ст. или диастолическое АД менее 60 мм рт.ст., диурез менее 20 мл/час)</w:t>
        <w:br/>
        <w:br/>
        <w:t>* Изменения в легких при КТ (рентгенографии), типичные для вирусного поражения (объем поражения значительный или субтотальный; КТ 3-4)</w:t>
        <w:br/>
        <w:br/>
        <w:t>* Лактат артериальной крови &gt; 2 ммоль/л</w:t>
        <w:br/>
        <w:br/>
        <w:t>* qSOFA &gt; 2 балла</w:t>
        <w:br/>
        <w:br/>
        <w:t>*Крайне тяжелое течение*</w:t>
        <w:br/>
        <w:br/>
        <w:t>* Стойкая фебрильная лихорадка</w:t>
        <w:br/>
        <w:br/>
        <w:t>* ОРДС</w:t>
        <w:br/>
        <w:br/>
        <w:t>* ОДН с необходимостью респираторной поддержки (инвазивная вентиляции легких)</w:t>
        <w:br/>
        <w:br/>
        <w:t>* Септический шок</w:t>
        <w:br/>
        <w:br/>
        <w:t>* Полиорганная недостаточность</w:t>
        <w:br/>
        <w:br/>
        <w:t>* Изменения в легких при КТ (рентгенографии), типичные для вирусного поражения критической степени (объем поражения значительный или субтотальный; КТ 4) или картина ОРДС.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первичной оценки состояния органов грудной клетки у пациентов с прогрессирующими формами заболевания коронавирусной инфекцией целесообразно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магнитно-резонансной томографии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крупнокадровой флюорографии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КТангиопульмонографии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компьютерной томографии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компьютерной томографии</w:t>
      </w:r>
    </w:p>
    <w:p>
      <w:pPr>
        <w:ind w:left="504"/>
      </w:pPr>
      <w:r>
        <w:rPr>
          <w:b w:val="0"/>
          <w:i/>
        </w:rPr>
        <w:t>КТ имеет высокую чувствительность в выявлении изменений в легких, характерных для COVID-19. Применение КТ целесообразно для первичной оценки состояния ОГК у пациентов с тяжелыми прогрессирующими формами заболевания, а также для дифференциальной диагностики выявленных изменений и оценки динамики процесса. КТ позволяет выявить характерные изменения в легких у пациентов с COVID-19 еще до появления положительных лабораторных тестов на инфекцию с помощью МАНК. В то же время, КТ выявляет изменения легких у значительного числа пациентов с бессимптомной и легкой формами заболевания, которым не требуется госпитализация.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Характерными изменениями в периферической крови при коронавирусной инфекции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нейтрофиллез и анэозинофилия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лимфопения и тромбоцитопения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лимфоцитоз и тромбоцитоз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нейтропения и абсолютный лимфомоноцитоз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лимфопения и тромбоцитопения</w:t>
      </w:r>
    </w:p>
    <w:p>
      <w:pPr>
        <w:ind w:left="504"/>
      </w:pPr>
      <w:r>
        <w:rPr>
          <w:b w:val="0"/>
          <w:i/>
        </w:rPr>
        <w:t>У большинства пациентов с COVID-19 наблюдается нормальное число лейкоцитов, у одной трети обнаруживается лейкопения, лимфопения присутствует у 83,2% пациентов. Тромбоцитопения носит умеренный характер, но более отчетлива при тяжелом течении и у лиц, умерших от COVID-19.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Типичным патогенетическим осложнением новой коронавирусной инфекции COVID-19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гнойный менингоэнцефалит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острый респираторный дистресс-синдром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острая почечно-печеночная недостаточность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тромбоз мезентериальных сосудов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острый респираторный дистресс-синдром</w:t>
      </w:r>
    </w:p>
    <w:p>
      <w:pPr>
        <w:ind w:left="504"/>
      </w:pPr>
      <w:r>
        <w:rPr>
          <w:b w:val="0"/>
          <w:i/>
        </w:rPr>
        <w:t>Гиперактивация иммунного ответа при COVID-19 часто ограничивается легочной паренхимой, прилегающей бронхиальной и альвеолярной лимфоидной тканью и ассоциируется с развитием ОРДС.</w:t>
        <w:br/>
        <w:br/>
        <w:t>Цитокиновый шторм при COVID-19, как правило, приводит к развитию ОРДС, полиорганной недостаточности и может быть причиной летального исхода.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 препаратам с прямым противовирусным действием в рекомендованных схемах лечения больных новой коронавирусной инфекцией COVID-19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азитромицин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гидроксихлорохин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интерферон-бета1b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фавипиравир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фавипиравир</w:t>
      </w:r>
    </w:p>
    <w:p>
      <w:pPr>
        <w:ind w:left="504"/>
      </w:pPr>
      <w:r>
        <w:rPr>
          <w:b w:val="0"/>
          <w:i/>
        </w:rPr>
        <w:t>В настоящее время следует выделить несколько препаратов, которые могут быть использованы при лечении COVID-19: фавипиравир, ремдесивир, умифеновир и интерферон-альфа.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рекомендованных схемах лечения при среднетяжелом течении новой коронавирусной инфекции COVID-19 в стационарных условиях фавипиравир может назначаться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рекомбинантным интерлейкином-2 человека (рИЛ-2)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левилимабом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умифеновиром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интерфероном бета-1b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левилимабом</w:t>
      </w:r>
    </w:p>
    <w:p>
      <w:pPr>
        <w:ind w:left="504"/>
      </w:pPr>
      <w:r>
        <w:rPr>
          <w:b w:val="0"/>
          <w:i/>
        </w:rPr>
        <w:t>Рекомендованные схемы лечения в зависимости от тяжести заболевания Схема 1.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Пациентке с гипертонической болезнью, получающей эналаприл (препараты из группы ингибиторов АПФ) при коронавирусной инфекции показано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полностью прервать прием препарата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уменьшить дозу препарата в два раза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продолжить прием препарата в той же дозировке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увеличить дозу препарата в два раза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продолжить прием препарата в той же дозировке</w:t>
      </w:r>
    </w:p>
    <w:p>
      <w:pPr>
        <w:ind w:left="504"/>
      </w:pPr>
      <w:r>
        <w:rPr>
          <w:b w:val="0"/>
          <w:i/>
        </w:rPr>
        <w:t>Особые группы пациентов.</w:t>
        <w:br/>
        <w:br/>
        <w:t>Больные с артериальной гипертензией.</w:t>
        <w:br/>
        <w:br/>
        <w:t>В связи с тем, что АПФ2 является функциональным рецептором для SARS-CoV-2, было высказано предположение, что это может объяснять высокий риск летального исхода при COVID-19 у пациентов с артериальной гипертензией, получающих препараты из группы ингибиторов АПФ или блокаторов рецепторов к ангиотензину. Эти опасения носили гипотетический характер и не получили практического подтверждения. Более того, имеются косвенные данные о возможном протективном действии этих препаратов при COVID-19. Экспертами Европейского общества кардиологов опубликовано заявление о том, что данных о неблагоприятных эффектах этих препаратов на течение COVID-19 нет, их прием настоятельно рекомендуется продолжать.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случае полной реконвалесценции пациентки, возобновление приема метформина возможно через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 суток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 недели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 недели</w:t>
      </w:r>
    </w:p>
    <w:p>
      <w:pPr>
        <w:ind w:left="504"/>
      </w:pPr>
      <w:r>
        <w:rPr>
          <w:b w:val="0"/>
          <w:i/>
        </w:rPr>
        <w:t>Особые группы пациентов. Больные сахарным диабетом</w:t>
        <w:br/>
        <w:br/>
        <w:t>При выписке пациентов из стационара:</w:t>
        <w:br/>
        <w:br/>
        <w:t>* Предусмотреть обеспечение пациентов препаратами инсулина на время самоизоляции;</w:t>
        <w:br/>
        <w:br/>
        <w:t>* Возможно возобновить прием метформина, арГПП-1, иНГЛТ2 через 2 недели в случае полной реконвалесценции пациента.</w:t>
        <w:br/>
        <w:br/>
        <w:t>* Продолжение антикоагулянтов до полного выздоровления.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рекомендованных схемах для медикаментозной профилактики COVID19 у лиц из группы риска применяется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ламивудин/ритонавир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рекомбинантный ИФН-α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осельтамивир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фавипиравир/барицитиниб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рекомбинантный ИФН-α</w:t>
      </w:r>
    </w:p>
    <w:p>
      <w:pPr>
        <w:ind w:left="504"/>
      </w:pPr>
      <w:r>
        <w:rPr>
          <w:b w:val="0"/>
          <w:i/>
        </w:rPr>
        <w:t>Пациенты с сахарным диабетом должны тщательно следовать рекомендациям по профилактике заболевания COVID-19.</w:t>
        <w:br/>
        <w:br/>
        <w:t>В качестве специфической профилактики рекомендовано применение препаратов альфа-интерферона.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library.mededtech.ru/rest/documents/COVID-19_V17/" TargetMode="External"/><Relationship Id="rId11" Type="http://schemas.openxmlformats.org/officeDocument/2006/relationships/hyperlink" Target="https://library.mededtech.ru/rest/documents/COVID-19_V17/#paragraph_bbkvns" TargetMode="External"/><Relationship Id="rId12" Type="http://schemas.openxmlformats.org/officeDocument/2006/relationships/hyperlink" Target="https://library.mededtech.ru/rest/documents/COVID-19_V17/#paragraph_1vn041" TargetMode="External"/><Relationship Id="rId13" Type="http://schemas.openxmlformats.org/officeDocument/2006/relationships/hyperlink" Target="https://library.mededtech.ru/rest/documents/COVID-19_V17/#3_&#1050;&#1083;&#1080;&#1085;&#1080;&#1095;&#1077;&#1089;&#1082;&#1080;&#1077;_&#1086;&#1089;&#1086;&#1073;&#1077;&#1085;&#1085;&#1086;&#1089;&#1090;&#1080;" TargetMode="External"/><Relationship Id="rId14" Type="http://schemas.openxmlformats.org/officeDocument/2006/relationships/hyperlink" Target="https://library.mededtech.ru/rest/documents/COVID-19_V17/#paragraph_m1eh1p" TargetMode="External"/><Relationship Id="rId15" Type="http://schemas.openxmlformats.org/officeDocument/2006/relationships/hyperlink" Target="https://library.mededtech.ru/rest/documents/COVID-19_V17/#paragraph_08c40k" TargetMode="External"/><Relationship Id="rId16" Type="http://schemas.openxmlformats.org/officeDocument/2006/relationships/hyperlink" Target="https://library.mededtech.ru/rest/documents/COVID-19_V17/#paragraph_b35j0r" TargetMode="External"/><Relationship Id="rId17" Type="http://schemas.openxmlformats.org/officeDocument/2006/relationships/hyperlink" Target="https://library.mededtech.ru/rest/documents/COVID-19_V17/#paragraph_bh7rra" TargetMode="External"/><Relationship Id="rId18" Type="http://schemas.openxmlformats.org/officeDocument/2006/relationships/hyperlink" Target="https://library.mededtech.ru/rest/documents/COVID-19_V17/#paragraph_6npru7" TargetMode="External"/><Relationship Id="rId19" Type="http://schemas.openxmlformats.org/officeDocument/2006/relationships/hyperlink" Target="https://library.mededtech.ru/rest/documents/COVID-19_V17/#paragraph_2p1uth" TargetMode="External"/><Relationship Id="rId20" Type="http://schemas.openxmlformats.org/officeDocument/2006/relationships/hyperlink" Target="https://library.mededtech.ru/rest/documents/COVID-19_V17/#table_69ch3c" TargetMode="External"/><Relationship Id="rId21" Type="http://schemas.openxmlformats.org/officeDocument/2006/relationships/hyperlink" Target="https://library.mededtech.ru/rest/documents/COVID-19_V17/#paragraph_4lpad5" TargetMode="External"/><Relationship Id="rId22" Type="http://schemas.openxmlformats.org/officeDocument/2006/relationships/hyperlink" Target="https://library.mededtech.ru/rest/documents/COVID-19_V17/#list_item_kuk38s" TargetMode="External"/><Relationship Id="rId23" Type="http://schemas.openxmlformats.org/officeDocument/2006/relationships/hyperlink" Target="https://library.mededtech.ru/rest/documents/COVID-19_V17/#paragraph_cjeob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